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D671EC" w14:textId="77777777" w:rsidR="00C11E4D" w:rsidRDefault="00000000">
      <w:pPr>
        <w:spacing w:after="20"/>
        <w:jc w:val="center"/>
      </w:pPr>
      <w:r>
        <w:rPr>
          <w:b/>
          <w:bCs/>
          <w:color w:val="1E2761"/>
          <w:sz w:val="30"/>
          <w:szCs w:val="30"/>
        </w:rPr>
        <w:t>Kevin B. Johnson, M.D., M.S.</w:t>
      </w:r>
    </w:p>
    <w:p w14:paraId="40DD5FFF" w14:textId="77777777" w:rsidR="00C11E4D" w:rsidRDefault="00000000">
      <w:pPr>
        <w:spacing w:after="80"/>
        <w:jc w:val="center"/>
      </w:pPr>
      <w:r>
        <w:rPr>
          <w:i/>
          <w:iCs/>
          <w:color w:val="404040"/>
          <w:sz w:val="19"/>
          <w:szCs w:val="19"/>
        </w:rPr>
        <w:t xml:space="preserve">Healthcare AI </w:t>
      </w:r>
      <w:proofErr w:type="gramStart"/>
      <w:r>
        <w:rPr>
          <w:i/>
          <w:iCs/>
          <w:color w:val="404040"/>
          <w:sz w:val="19"/>
          <w:szCs w:val="19"/>
        </w:rPr>
        <w:t>Operator  ·</w:t>
      </w:r>
      <w:proofErr w:type="gramEnd"/>
      <w:r>
        <w:rPr>
          <w:i/>
          <w:iCs/>
          <w:color w:val="404040"/>
          <w:sz w:val="19"/>
          <w:szCs w:val="19"/>
        </w:rPr>
        <w:t xml:space="preserve">  Independent Director Candidate, Digital Health &amp; Clinical AI</w:t>
      </w:r>
    </w:p>
    <w:p w14:paraId="07B89DBF" w14:textId="77777777" w:rsidR="00C11E4D" w:rsidRDefault="00000000">
      <w:pPr>
        <w:pBdr>
          <w:bottom w:val="single" w:sz="6" w:space="2" w:color="1E2761"/>
        </w:pBdr>
        <w:spacing w:before="100" w:after="30"/>
      </w:pPr>
      <w:r>
        <w:rPr>
          <w:b/>
          <w:bCs/>
          <w:color w:val="1E2761"/>
          <w:spacing w:val="30"/>
          <w:sz w:val="19"/>
          <w:szCs w:val="19"/>
        </w:rPr>
        <w:t>CURRENT APPOINTMENT</w:t>
      </w:r>
    </w:p>
    <w:p w14:paraId="50884F46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David L. Cohen University Professor</w:t>
      </w:r>
      <w:r>
        <w:rPr>
          <w:sz w:val="19"/>
          <w:szCs w:val="19"/>
        </w:rPr>
        <w:t>, University of Pennsylvania (2021–Present); Vice President for Applied Clinical Informatics, Penn Medicine; Director, AI for Ambulatory Care Innovation (AI4AI) Lab.</w:t>
      </w:r>
    </w:p>
    <w:p w14:paraId="185614B0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Senior Fellow</w:t>
      </w:r>
      <w:r>
        <w:rPr>
          <w:sz w:val="19"/>
          <w:szCs w:val="19"/>
        </w:rPr>
        <w:t>, Leonard Davis Institute; Distinguished Research Fellow, Annenberg Public Policy Center.</w:t>
      </w:r>
    </w:p>
    <w:p w14:paraId="396458C3" w14:textId="77777777" w:rsidR="00C11E4D" w:rsidRDefault="00000000">
      <w:pPr>
        <w:pBdr>
          <w:bottom w:val="single" w:sz="6" w:space="2" w:color="1E2761"/>
        </w:pBdr>
        <w:spacing w:before="100" w:after="30"/>
      </w:pPr>
      <w:r>
        <w:rPr>
          <w:b/>
          <w:bCs/>
          <w:color w:val="1E2761"/>
          <w:spacing w:val="30"/>
          <w:sz w:val="19"/>
          <w:szCs w:val="19"/>
        </w:rPr>
        <w:t>EDUCATION</w:t>
      </w:r>
    </w:p>
    <w:p w14:paraId="59AE0CDA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M.S., Medical Informatics</w:t>
      </w:r>
      <w:r>
        <w:rPr>
          <w:sz w:val="19"/>
          <w:szCs w:val="19"/>
        </w:rPr>
        <w:t>, Stanford University, 1992.</w:t>
      </w:r>
    </w:p>
    <w:p w14:paraId="052FE323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M.D.</w:t>
      </w:r>
      <w:r>
        <w:rPr>
          <w:sz w:val="19"/>
          <w:szCs w:val="19"/>
        </w:rPr>
        <w:t>, Johns Hopkins University School of Medicine, 1987.</w:t>
      </w:r>
    </w:p>
    <w:p w14:paraId="19296453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B.S., Biology (Honors)</w:t>
      </w:r>
      <w:r>
        <w:rPr>
          <w:sz w:val="19"/>
          <w:szCs w:val="19"/>
        </w:rPr>
        <w:t>, Dickinson College, 1983.</w:t>
      </w:r>
    </w:p>
    <w:p w14:paraId="63FA76E0" w14:textId="77777777" w:rsidR="00C11E4D" w:rsidRDefault="00000000">
      <w:pPr>
        <w:pBdr>
          <w:bottom w:val="single" w:sz="6" w:space="2" w:color="1E2761"/>
        </w:pBdr>
        <w:spacing w:before="100" w:after="30"/>
      </w:pPr>
      <w:r>
        <w:rPr>
          <w:b/>
          <w:bCs/>
          <w:color w:val="1E2761"/>
          <w:spacing w:val="30"/>
          <w:sz w:val="19"/>
          <w:szCs w:val="19"/>
        </w:rPr>
        <w:t>OPERATING LEADERSHIP (SELECTED)</w:t>
      </w:r>
    </w:p>
    <w:p w14:paraId="1AAF6E75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Chief Informatics Officer and Senior Vice President, Health Information Technology</w:t>
      </w:r>
      <w:r>
        <w:rPr>
          <w:sz w:val="19"/>
          <w:szCs w:val="19"/>
        </w:rPr>
        <w:t>, Vanderbilt University Medical Center (2014–2019). Led a 400-FTE organization with a $120M annual operating budget across a 3-million-patient Epic-based health system.</w:t>
      </w:r>
    </w:p>
    <w:p w14:paraId="572D3460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Cornelius Vanderbilt Chair and Chair, Department of Biomedical Informatics</w:t>
      </w:r>
      <w:r>
        <w:rPr>
          <w:sz w:val="19"/>
          <w:szCs w:val="19"/>
        </w:rPr>
        <w:t>, Vanderbilt University (2012–2021). Informatician-in-Chief, VUMC (2013–2021); Vice Chair, BMI (2002–2011).</w:t>
      </w:r>
    </w:p>
    <w:p w14:paraId="7C3F37B7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Three clinical applications shipped in Epic’s commercial product</w:t>
      </w:r>
      <w:r>
        <w:rPr>
          <w:sz w:val="19"/>
          <w:szCs w:val="19"/>
        </w:rPr>
        <w:t xml:space="preserve"> under executive sponsorship: VPIMS (perioperative alerting), CDIS (clinical data integration via FHIR), and the VUMC delirium care bundle (Foundation system).</w:t>
      </w:r>
    </w:p>
    <w:p w14:paraId="20495674" w14:textId="77777777" w:rsidR="00C11E4D" w:rsidRDefault="00000000">
      <w:pPr>
        <w:pBdr>
          <w:bottom w:val="single" w:sz="6" w:space="2" w:color="1E2761"/>
        </w:pBdr>
        <w:spacing w:before="100" w:after="30"/>
      </w:pPr>
      <w:r>
        <w:rPr>
          <w:b/>
          <w:bCs/>
          <w:color w:val="1E2761"/>
          <w:spacing w:val="30"/>
          <w:sz w:val="19"/>
          <w:szCs w:val="19"/>
        </w:rPr>
        <w:t>BOARD AND GOVERNANCE SERVICE</w:t>
      </w:r>
    </w:p>
    <w:p w14:paraId="38865411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Board of Directors, Perception Health</w:t>
      </w:r>
      <w:r>
        <w:rPr>
          <w:sz w:val="19"/>
          <w:szCs w:val="19"/>
        </w:rPr>
        <w:t xml:space="preserve"> (predictive healthcare analytics), 2015–2020. Company acquired by Huron, 2022.</w:t>
      </w:r>
    </w:p>
    <w:p w14:paraId="1453E54C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Board of Directors, American Medical Informatics Association</w:t>
      </w:r>
      <w:r>
        <w:rPr>
          <w:sz w:val="19"/>
          <w:szCs w:val="19"/>
        </w:rPr>
        <w:t xml:space="preserve"> (AMIA), 2005–2010.</w:t>
      </w:r>
    </w:p>
    <w:p w14:paraId="71905545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President, American College of Medical Informatics</w:t>
      </w:r>
      <w:r>
        <w:rPr>
          <w:sz w:val="19"/>
          <w:szCs w:val="19"/>
        </w:rPr>
        <w:t xml:space="preserve"> (ACMI), 2023–2024.</w:t>
      </w:r>
    </w:p>
    <w:p w14:paraId="49242EE7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Federal advisory governance</w:t>
      </w:r>
      <w:r>
        <w:rPr>
          <w:sz w:val="19"/>
          <w:szCs w:val="19"/>
        </w:rPr>
        <w:t>: NIH Council of Councils, 2018–Present (Chair, SRA Workgroup); National Library of Medicine Board of Scientific Counselors, 2015–Present; ONC HIT Standards Committee under the Federal Advisory Committee Act, 2016–2017.</w:t>
      </w:r>
    </w:p>
    <w:p w14:paraId="0C2830E8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Chair, RWJF Harold Amos National Advisory Committee</w:t>
      </w:r>
      <w:r>
        <w:rPr>
          <w:sz w:val="19"/>
          <w:szCs w:val="19"/>
        </w:rPr>
        <w:t>, 2021–Present; Chair, American Board of Pediatrics Informatics Advisory Committee, 2016–Present.</w:t>
      </w:r>
    </w:p>
    <w:p w14:paraId="7CE8F7B7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Chair, IOM National Electronic Medical Record Committee</w:t>
      </w:r>
      <w:r>
        <w:rPr>
          <w:sz w:val="19"/>
          <w:szCs w:val="19"/>
        </w:rPr>
        <w:t>, 2002–2004; additional IOM committee service on patient safety, medication errors, and pediatric quality measures. Member, NAM Leadership Consortium, 2018–Present.</w:t>
      </w:r>
    </w:p>
    <w:p w14:paraId="1074139B" w14:textId="77777777" w:rsidR="00C11E4D" w:rsidRDefault="00000000">
      <w:pPr>
        <w:pBdr>
          <w:bottom w:val="single" w:sz="6" w:space="2" w:color="1E2761"/>
        </w:pBdr>
        <w:spacing w:before="100" w:after="30"/>
      </w:pPr>
      <w:r>
        <w:rPr>
          <w:b/>
          <w:bCs/>
          <w:color w:val="1E2761"/>
          <w:spacing w:val="30"/>
          <w:sz w:val="19"/>
          <w:szCs w:val="19"/>
        </w:rPr>
        <w:t>AI GOVERNANCE AND INDUSTRY ADVISORY</w:t>
      </w:r>
    </w:p>
    <w:p w14:paraId="5020D8FB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Co-author</w:t>
      </w:r>
      <w:r>
        <w:rPr>
          <w:sz w:val="19"/>
          <w:szCs w:val="19"/>
        </w:rPr>
        <w:t>, National Academy of Medicine AI Code of Conduct.</w:t>
      </w:r>
    </w:p>
    <w:p w14:paraId="1730ED74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Advisor, Google Health</w:t>
      </w:r>
      <w:r>
        <w:rPr>
          <w:sz w:val="19"/>
          <w:szCs w:val="19"/>
        </w:rPr>
        <w:t>. Past member, VUMC AI Governance Committee.</w:t>
      </w:r>
    </w:p>
    <w:p w14:paraId="4B122D91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Active clinical AI safety and ambient AI evaluation research</w:t>
      </w:r>
      <w:r>
        <w:rPr>
          <w:sz w:val="19"/>
          <w:szCs w:val="19"/>
        </w:rPr>
        <w:t xml:space="preserve"> through the AI4AI Lab and the Observer Project.</w:t>
      </w:r>
    </w:p>
    <w:p w14:paraId="136AF6E2" w14:textId="77777777" w:rsidR="00C11E4D" w:rsidRDefault="00000000">
      <w:pPr>
        <w:pBdr>
          <w:bottom w:val="single" w:sz="6" w:space="2" w:color="1E2761"/>
        </w:pBdr>
        <w:spacing w:before="100" w:after="30"/>
      </w:pPr>
      <w:r>
        <w:rPr>
          <w:b/>
          <w:bCs/>
          <w:color w:val="1E2761"/>
          <w:spacing w:val="30"/>
          <w:sz w:val="19"/>
          <w:szCs w:val="19"/>
        </w:rPr>
        <w:t>RECOGNITION (SELECTED)</w:t>
      </w:r>
    </w:p>
    <w:p w14:paraId="098E0276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NIH Director’s Pioneer Award</w:t>
      </w:r>
      <w:r>
        <w:rPr>
          <w:sz w:val="19"/>
          <w:szCs w:val="19"/>
        </w:rPr>
        <w:t>, 2023.</w:t>
      </w:r>
    </w:p>
    <w:p w14:paraId="280131D9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Elected Member, National Academy of Medicine</w:t>
      </w:r>
      <w:r>
        <w:rPr>
          <w:sz w:val="19"/>
          <w:szCs w:val="19"/>
        </w:rPr>
        <w:t xml:space="preserve"> (Institute of Medicine), 2010.</w:t>
      </w:r>
    </w:p>
    <w:p w14:paraId="50E22886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Honorary Doctor of Medicine</w:t>
      </w:r>
      <w:r>
        <w:rPr>
          <w:sz w:val="19"/>
          <w:szCs w:val="19"/>
        </w:rPr>
        <w:t>, Dickinson College, 2026.</w:t>
      </w:r>
    </w:p>
    <w:p w14:paraId="0F397C97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Endowed and named chairs</w:t>
      </w:r>
      <w:r>
        <w:rPr>
          <w:sz w:val="19"/>
          <w:szCs w:val="19"/>
        </w:rPr>
        <w:t>: Cornelius Vanderbilt Endowed Chair (2010); Alexander Heard Distinguished Service Professor (2017).</w:t>
      </w:r>
    </w:p>
    <w:p w14:paraId="2B6D7384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Elected Fellow</w:t>
      </w:r>
      <w:r>
        <w:rPr>
          <w:sz w:val="19"/>
          <w:szCs w:val="19"/>
        </w:rPr>
        <w:t>: American College of Medical Informatics (ACMI, 2003), American Medical Informatics Association (AMIA, 2020), International Academy of Health Sciences Informatics (IAHSI, 2021), American Institute for Medical and Biological Engineering (AIMBE, 2022).</w:t>
      </w:r>
    </w:p>
    <w:p w14:paraId="20F54D72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Additional honors</w:t>
      </w:r>
      <w:r>
        <w:rPr>
          <w:sz w:val="19"/>
          <w:szCs w:val="19"/>
        </w:rPr>
        <w:t>: Johns Hopkins University Society of Scholars (2014); Nashville Technology Council Hall of Fame (2018).</w:t>
      </w:r>
    </w:p>
    <w:p w14:paraId="7DA8D49E" w14:textId="77777777" w:rsidR="00C11E4D" w:rsidRDefault="00000000">
      <w:pPr>
        <w:pBdr>
          <w:bottom w:val="single" w:sz="6" w:space="2" w:color="1E2761"/>
        </w:pBdr>
        <w:spacing w:before="100" w:after="30"/>
      </w:pPr>
      <w:r>
        <w:rPr>
          <w:b/>
          <w:bCs/>
          <w:color w:val="1E2761"/>
          <w:spacing w:val="30"/>
          <w:sz w:val="19"/>
          <w:szCs w:val="19"/>
        </w:rPr>
        <w:t>EDITORIAL SERVICE</w:t>
      </w:r>
    </w:p>
    <w:p w14:paraId="50F1B92B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Associate Editor, JAMIA</w:t>
      </w:r>
      <w:r>
        <w:rPr>
          <w:sz w:val="19"/>
          <w:szCs w:val="19"/>
        </w:rPr>
        <w:t xml:space="preserve"> (2010–2015); Assistant Editor and Director, JAMIA Student Editorial Board (2003–2010); Editorial Board, JAMA Pediatrics; Guest Editor, Journal of Health Care for the Poor and Underserved.</w:t>
      </w:r>
    </w:p>
    <w:p w14:paraId="6459858E" w14:textId="77777777" w:rsidR="00C11E4D" w:rsidRDefault="00000000">
      <w:pPr>
        <w:pBdr>
          <w:bottom w:val="single" w:sz="6" w:space="2" w:color="1E2761"/>
        </w:pBdr>
        <w:spacing w:before="100" w:after="30"/>
      </w:pPr>
      <w:r>
        <w:rPr>
          <w:b/>
          <w:bCs/>
          <w:color w:val="1E2761"/>
          <w:spacing w:val="30"/>
          <w:sz w:val="19"/>
          <w:szCs w:val="19"/>
        </w:rPr>
        <w:t>RESEARCH, SCHOLARSHIP, AND PUBLIC REACH</w:t>
      </w:r>
    </w:p>
    <w:p w14:paraId="596577BE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Career funding: $94.1M</w:t>
      </w:r>
      <w:r>
        <w:rPr>
          <w:sz w:val="19"/>
          <w:szCs w:val="19"/>
        </w:rPr>
        <w:t xml:space="preserve"> across 55 awards (PI on 25, $23.7M; Co-I on 18, $52.3M; 12 collaborative awards, $18.1M).</w:t>
      </w:r>
    </w:p>
    <w:p w14:paraId="24AFA817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300+ peer-reviewed journal articles</w:t>
      </w:r>
      <w:r>
        <w:rPr>
          <w:sz w:val="19"/>
          <w:szCs w:val="19"/>
        </w:rPr>
        <w:t xml:space="preserve">, 25 commentaries, 20 review articles, 15+ book chapters, and 4 authored or edited books, including the sole-authored </w:t>
      </w:r>
      <w:r>
        <w:rPr>
          <w:i/>
          <w:iCs/>
          <w:sz w:val="19"/>
          <w:szCs w:val="19"/>
        </w:rPr>
        <w:t>Who, Me? I’m a Biomedical Informatics Expert Now!</w:t>
      </w:r>
      <w:r>
        <w:rPr>
          <w:sz w:val="19"/>
          <w:szCs w:val="19"/>
        </w:rPr>
        <w:t xml:space="preserve"> (World Scientific, 2022).</w:t>
      </w:r>
    </w:p>
    <w:p w14:paraId="01D03BB2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>50+ visiting professorships</w:t>
      </w:r>
      <w:r>
        <w:rPr>
          <w:sz w:val="19"/>
          <w:szCs w:val="19"/>
        </w:rPr>
        <w:t>, 75+ CME presentations, 100+ grand rounds, 25+ international invited presentations.</w:t>
      </w:r>
    </w:p>
    <w:p w14:paraId="2C8EDE21" w14:textId="77777777" w:rsidR="00C11E4D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  <w:sz w:val="19"/>
          <w:szCs w:val="19"/>
        </w:rPr>
        <w:t xml:space="preserve">Producer and director, </w:t>
      </w:r>
      <w:r>
        <w:rPr>
          <w:b/>
          <w:bCs/>
          <w:i/>
          <w:iCs/>
          <w:sz w:val="19"/>
          <w:szCs w:val="19"/>
        </w:rPr>
        <w:t>No Matter Where</w:t>
      </w:r>
      <w:r>
        <w:rPr>
          <w:sz w:val="19"/>
          <w:szCs w:val="19"/>
        </w:rPr>
        <w:t xml:space="preserve"> (2014), a feature-length documentary on health information exchange. Host of the </w:t>
      </w:r>
      <w:r>
        <w:rPr>
          <w:i/>
          <w:iCs/>
          <w:sz w:val="19"/>
          <w:szCs w:val="19"/>
        </w:rPr>
        <w:t>Informatics in the Round</w:t>
      </w:r>
      <w:r>
        <w:rPr>
          <w:sz w:val="19"/>
          <w:szCs w:val="19"/>
        </w:rPr>
        <w:t xml:space="preserve"> podcast (2020–Present). Op-ed and commentary contributor on healthcare AI and equity.</w:t>
      </w:r>
    </w:p>
    <w:sectPr w:rsidR="00C11E4D">
      <w:pgSz w:w="12240" w:h="15840"/>
      <w:pgMar w:top="540" w:right="1080" w:bottom="54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890879"/>
    <w:multiLevelType w:val="hybridMultilevel"/>
    <w:tmpl w:val="5B7AD35C"/>
    <w:lvl w:ilvl="0" w:tplc="282C7978">
      <w:start w:val="1"/>
      <w:numFmt w:val="bullet"/>
      <w:lvlText w:val="•"/>
      <w:lvlJc w:val="left"/>
      <w:pPr>
        <w:ind w:left="360" w:hanging="200"/>
      </w:pPr>
    </w:lvl>
    <w:lvl w:ilvl="1" w:tplc="6DA0F7FA">
      <w:numFmt w:val="decimal"/>
      <w:lvlText w:val=""/>
      <w:lvlJc w:val="left"/>
    </w:lvl>
    <w:lvl w:ilvl="2" w:tplc="B49C4054">
      <w:numFmt w:val="decimal"/>
      <w:lvlText w:val=""/>
      <w:lvlJc w:val="left"/>
    </w:lvl>
    <w:lvl w:ilvl="3" w:tplc="67048A90">
      <w:numFmt w:val="decimal"/>
      <w:lvlText w:val=""/>
      <w:lvlJc w:val="left"/>
    </w:lvl>
    <w:lvl w:ilvl="4" w:tplc="3500B562">
      <w:numFmt w:val="decimal"/>
      <w:lvlText w:val=""/>
      <w:lvlJc w:val="left"/>
    </w:lvl>
    <w:lvl w:ilvl="5" w:tplc="0F5EC8BC">
      <w:numFmt w:val="decimal"/>
      <w:lvlText w:val=""/>
      <w:lvlJc w:val="left"/>
    </w:lvl>
    <w:lvl w:ilvl="6" w:tplc="732020D8">
      <w:numFmt w:val="decimal"/>
      <w:lvlText w:val=""/>
      <w:lvlJc w:val="left"/>
    </w:lvl>
    <w:lvl w:ilvl="7" w:tplc="5DDE9E78">
      <w:numFmt w:val="decimal"/>
      <w:lvlText w:val=""/>
      <w:lvlJc w:val="left"/>
    </w:lvl>
    <w:lvl w:ilvl="8" w:tplc="115AFC10">
      <w:numFmt w:val="decimal"/>
      <w:lvlText w:val=""/>
      <w:lvlJc w:val="left"/>
    </w:lvl>
  </w:abstractNum>
  <w:abstractNum w:abstractNumId="1" w15:restartNumberingAfterBreak="0">
    <w:nsid w:val="743E4994"/>
    <w:multiLevelType w:val="hybridMultilevel"/>
    <w:tmpl w:val="0BC839CE"/>
    <w:lvl w:ilvl="0" w:tplc="FE06DB96">
      <w:start w:val="1"/>
      <w:numFmt w:val="bullet"/>
      <w:lvlText w:val="●"/>
      <w:lvlJc w:val="left"/>
      <w:pPr>
        <w:ind w:left="720" w:hanging="360"/>
      </w:pPr>
    </w:lvl>
    <w:lvl w:ilvl="1" w:tplc="ACC6AAEE">
      <w:start w:val="1"/>
      <w:numFmt w:val="bullet"/>
      <w:lvlText w:val="○"/>
      <w:lvlJc w:val="left"/>
      <w:pPr>
        <w:ind w:left="1440" w:hanging="360"/>
      </w:pPr>
    </w:lvl>
    <w:lvl w:ilvl="2" w:tplc="1D34CDA8">
      <w:start w:val="1"/>
      <w:numFmt w:val="bullet"/>
      <w:lvlText w:val="■"/>
      <w:lvlJc w:val="left"/>
      <w:pPr>
        <w:ind w:left="2160" w:hanging="360"/>
      </w:pPr>
    </w:lvl>
    <w:lvl w:ilvl="3" w:tplc="2C02B61A">
      <w:start w:val="1"/>
      <w:numFmt w:val="bullet"/>
      <w:lvlText w:val="●"/>
      <w:lvlJc w:val="left"/>
      <w:pPr>
        <w:ind w:left="2880" w:hanging="360"/>
      </w:pPr>
    </w:lvl>
    <w:lvl w:ilvl="4" w:tplc="932C693C">
      <w:start w:val="1"/>
      <w:numFmt w:val="bullet"/>
      <w:lvlText w:val="○"/>
      <w:lvlJc w:val="left"/>
      <w:pPr>
        <w:ind w:left="3600" w:hanging="360"/>
      </w:pPr>
    </w:lvl>
    <w:lvl w:ilvl="5" w:tplc="A1803E7E">
      <w:start w:val="1"/>
      <w:numFmt w:val="bullet"/>
      <w:lvlText w:val="■"/>
      <w:lvlJc w:val="left"/>
      <w:pPr>
        <w:ind w:left="4320" w:hanging="360"/>
      </w:pPr>
    </w:lvl>
    <w:lvl w:ilvl="6" w:tplc="D564F598">
      <w:start w:val="1"/>
      <w:numFmt w:val="bullet"/>
      <w:lvlText w:val="●"/>
      <w:lvlJc w:val="left"/>
      <w:pPr>
        <w:ind w:left="5040" w:hanging="360"/>
      </w:pPr>
    </w:lvl>
    <w:lvl w:ilvl="7" w:tplc="533A7390">
      <w:start w:val="1"/>
      <w:numFmt w:val="bullet"/>
      <w:lvlText w:val="●"/>
      <w:lvlJc w:val="left"/>
      <w:pPr>
        <w:ind w:left="5760" w:hanging="360"/>
      </w:pPr>
    </w:lvl>
    <w:lvl w:ilvl="8" w:tplc="BEAA0C5E">
      <w:start w:val="1"/>
      <w:numFmt w:val="bullet"/>
      <w:lvlText w:val="●"/>
      <w:lvlJc w:val="left"/>
      <w:pPr>
        <w:ind w:left="6480" w:hanging="360"/>
      </w:pPr>
    </w:lvl>
  </w:abstractNum>
  <w:num w:numId="1" w16cid:durableId="381485199">
    <w:abstractNumId w:val="1"/>
    <w:lvlOverride w:ilvl="0">
      <w:startOverride w:val="1"/>
    </w:lvlOverride>
  </w:num>
  <w:num w:numId="2" w16cid:durableId="2993095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E4D"/>
    <w:rsid w:val="00392ED9"/>
    <w:rsid w:val="00C11E4D"/>
    <w:rsid w:val="00E9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DC2552"/>
  <w15:docId w15:val="{38B4D9FF-F568-1D4A-8E24-0B3C8DEE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618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Johnson, Kevin B</cp:lastModifiedBy>
  <cp:revision>2</cp:revision>
  <dcterms:created xsi:type="dcterms:W3CDTF">2026-06-20T17:26:00Z</dcterms:created>
  <dcterms:modified xsi:type="dcterms:W3CDTF">2026-06-20T17:26:00Z</dcterms:modified>
</cp:coreProperties>
</file>